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45</w:t>
      </w:r>
    </w:p>
    <w:p>
      <w:r>
        <w:t>Bundesgericht (BGE), 1980-04-18, DE</w:t>
      </w:r>
    </w:p>
    <w:p>
      <w:r>
        <w:rPr>
          <w:b/>
        </w:rPr>
        <w:t xml:space="preserve">Quelle: </w:t>
      </w:r>
      <w:r>
        <w:t>https://mcp.opencaselaw.ch/entscheid/bge_106 IV 45</w:t>
      </w:r>
    </w:p>
    <w:p>
      <w:r>
        <w:t>FR: ATF 106 IV 45</w:t>
      </w:r>
    </w:p>
    <w:p>
      <w:r>
        <w:t>IT: DTF 106 IV 45</w:t>
      </w:r>
    </w:p>
    <w:p>
      <w:pPr>
        <w:pStyle w:val="Heading2"/>
      </w:pPr>
      <w:r>
        <w:t>Regeste</w:t>
      </w:r>
    </w:p>
    <w:p>
      <w:r>
        <w:t>Regeste Art. 397 StGB, Art. 269 Abs. 1 und 273 Abs. 1 lit. b BStP; § 449 Ziff. 3 StPO/ZH. Der Beschluss, der ein Wiederaufnahmebegehren des Verurteilten gestützt auf das kantonale Strafprozessrecht gutheisst, kann von der Anklagebehörde nicht mit eidgenössischer Nichtigkeitsbeschwerde wegen Verletzung von Art. 397 StGB angefochten werden.</w:t>
      </w:r>
    </w:p>
    <w:p>
      <w:pPr>
        <w:pStyle w:val="Heading2"/>
      </w:pPr>
      <w:r>
        <w:t>Erwägungen</w:t>
      </w:r>
    </w:p>
    <w:p>
      <w:r>
        <w:rPr>
          <w:b/>
        </w:rPr>
        <w:t>E. 1</w:t>
      </w:r>
    </w:p>
    <w:p>
      <w:r>
        <w:t>Nach Art. 397 StGB haben die Kantone gegenüber Urteilen, die aufgrund dieses oder eines andern Bundesgesetzes ergangen sind, wegen erheblicher Tatsachen oder Beweismittel, BGE 106 IV 45 S. 47 die dem Gerichte zur Zeit des früheren Verfahrens nicht bekannt waren, die Wiederaufnahme des Verfahrens zugunsten des Verurteilten zu gestatten. Art. 397 StGB enthält somit eine Weisung an die Kantone, das Rechtsmittel der Revision zugunsten des Verurteilten wegen neuer erheblicher Tatsachen oder Beweismittel in ihre Strafprozessordnungen einzuführen und zu regeln. Dies ist indessen nicht die einzige Funktion dieser Bestimmung. Nach der in BGE 69 IV 137 begründeten Rechtsprechung des Bundesgerichts stellt Art. 397 StGB im Sinne einer Minimalgarantie einen selbständigen bundesrechtlichen Revisionsgrund zugunsten des Verurteilten auf, und kann die Verletzung dieser Bestimmung mit eidgenössischer Nichtigkeitsbeschwerde gerügt werden.</w:t>
      </w:r>
    </w:p>
    <w:p>
      <w:r>
        <w:rPr>
          <w:b/>
        </w:rPr>
        <w:t>E. 2</w:t>
      </w:r>
    </w:p>
    <w:p>
      <w:r>
        <w:t>Das Obergericht hat seinen das Wiederaufnahmegesuch des Verurteilten gutheissenden Beschluss ausdrücklich auf § 449 Ziff. 3 StPO /ZH gestützt, wonach die Wiederaufnahme des Verfahrens zugunsten des Verurteilten verlangt werden kann, "wenn Tatsachen und Beweismittel geltend gemacht werden, die dem erkennenden Richter nicht bekannt gewesen waren und welche allein oder in Verbindung mit früher erhobenen Tatsachen die Freisprechung des Angeklagten oder eine mildere Bestrafung rechtfertigen". Der Beschwerdeführer behauptet nicht, dass die Vorinstanz ihren Beschluss zu Unrecht auf kantonales Recht statt auf Bundesrecht gestützt habe. Ebensowenig wird geltend gemacht, die vom Obergericht im konkreten Fall gegebene Auslegung des kantonalen Prozessrechts verstosse gegen Bundesrecht, insbesondere gegen Art. 397 StGB . Die Auslegung und Anwendung des kantonalen Rechts, hier § 449 Ziff. 3 StPO /ZH, durch die kantonale Behörde aber ist der Kognition des Bundesgerichts im Verfahren der eidgenössischen Nichtigkeitsbeschwerde entzogen. Kann schon aus diesem Grunde auf die Beschwerde des Statthalteramtes Horgen nicht eingetreten werden, braucht nicht untersucht zu werden, ob die Eingabe den in Art. 273 BStP aufgestellten Anforderungen genügt, was vom Beschwerdegegner bestritten wird, und ob die übrigen Eintretensvoraussetzungen überhaupt erfüllt wären.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